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ED5" w:rsidRPr="00A90ED5" w:rsidRDefault="00A90ED5" w:rsidP="00A90ED5">
      <w:pPr>
        <w:rPr>
          <w:b/>
          <w:sz w:val="23"/>
          <w:szCs w:val="23"/>
          <w:lang w:val="en-US"/>
        </w:rPr>
      </w:pPr>
      <w:bookmarkStart w:id="0" w:name="_GoBack"/>
      <w:r w:rsidRPr="00A90ED5">
        <w:rPr>
          <w:b/>
          <w:sz w:val="23"/>
          <w:szCs w:val="23"/>
          <w:lang w:val="en-US"/>
        </w:rPr>
        <w:t>Environmental Risk Management</w:t>
      </w:r>
    </w:p>
    <w:bookmarkEnd w:id="0"/>
    <w:p w:rsidR="00A90ED5" w:rsidRPr="00A90ED5" w:rsidRDefault="00A90ED5" w:rsidP="00A90ED5">
      <w:pPr>
        <w:rPr>
          <w:sz w:val="23"/>
          <w:szCs w:val="23"/>
          <w:lang w:val="en-US"/>
        </w:rPr>
      </w:pPr>
      <w:r w:rsidRPr="00A90ED5">
        <w:rPr>
          <w:sz w:val="23"/>
          <w:szCs w:val="23"/>
          <w:lang w:val="en-US"/>
        </w:rPr>
        <w:t>OJSC VTB Bank (Azerbaijan) manages environmental risks in accordance with the applicable legislation of the Republic of Azerbaijan and the Bank’s internal regulatory documents. Environmental risks are considered as one of the factors that may affect the Bank’s financial stability, loan portfolio, operatio</w:t>
      </w:r>
      <w:r w:rsidRPr="00A90ED5">
        <w:rPr>
          <w:sz w:val="23"/>
          <w:szCs w:val="23"/>
          <w:lang w:val="en-US"/>
        </w:rPr>
        <w:t>nal activities, and reputation.</w:t>
      </w:r>
    </w:p>
    <w:p w:rsidR="00A90ED5" w:rsidRPr="00A90ED5" w:rsidRDefault="00A90ED5" w:rsidP="00A90ED5">
      <w:pPr>
        <w:rPr>
          <w:b/>
          <w:sz w:val="23"/>
          <w:szCs w:val="23"/>
          <w:lang w:val="en-US"/>
        </w:rPr>
      </w:pPr>
      <w:r w:rsidRPr="00A90ED5">
        <w:rPr>
          <w:b/>
          <w:sz w:val="23"/>
          <w:szCs w:val="23"/>
          <w:lang w:val="en-US"/>
        </w:rPr>
        <w:t>Roles and Responsibilities</w:t>
      </w:r>
    </w:p>
    <w:p w:rsidR="00A90ED5" w:rsidRPr="00A90ED5" w:rsidRDefault="00A90ED5" w:rsidP="00A90ED5">
      <w:pPr>
        <w:rPr>
          <w:sz w:val="23"/>
          <w:szCs w:val="23"/>
          <w:lang w:val="en-US"/>
        </w:rPr>
      </w:pPr>
      <w:r w:rsidRPr="00A90ED5">
        <w:rPr>
          <w:sz w:val="23"/>
          <w:szCs w:val="23"/>
          <w:lang w:val="en-US"/>
        </w:rPr>
        <w:t>Supervisory Board: approves the risk appetite in the area of environmental risks;</w:t>
      </w:r>
    </w:p>
    <w:p w:rsidR="00A90ED5" w:rsidRPr="00A90ED5" w:rsidRDefault="00A90ED5" w:rsidP="00A90ED5">
      <w:pPr>
        <w:rPr>
          <w:sz w:val="23"/>
          <w:szCs w:val="23"/>
          <w:lang w:val="en-US"/>
        </w:rPr>
      </w:pPr>
      <w:r w:rsidRPr="00A90ED5">
        <w:rPr>
          <w:sz w:val="23"/>
          <w:szCs w:val="23"/>
          <w:lang w:val="en-US"/>
        </w:rPr>
        <w:t>Management Board: ensures compliance with the requirements of internal documents and takes measures to mitigate environmental risks;</w:t>
      </w:r>
    </w:p>
    <w:p w:rsidR="00A90ED5" w:rsidRPr="00A90ED5" w:rsidRDefault="00A90ED5" w:rsidP="00A90ED5">
      <w:pPr>
        <w:rPr>
          <w:sz w:val="23"/>
          <w:szCs w:val="23"/>
          <w:lang w:val="en-US"/>
        </w:rPr>
      </w:pPr>
      <w:r w:rsidRPr="00A90ED5">
        <w:rPr>
          <w:sz w:val="23"/>
          <w:szCs w:val="23"/>
          <w:lang w:val="en-US"/>
        </w:rPr>
        <w:t>Structural divisions of the Bank: identify, assess, and monitor th</w:t>
      </w:r>
      <w:r w:rsidRPr="00A90ED5">
        <w:rPr>
          <w:sz w:val="23"/>
          <w:szCs w:val="23"/>
          <w:lang w:val="en-US"/>
        </w:rPr>
        <w:t>e level of environmental risks.</w:t>
      </w:r>
    </w:p>
    <w:p w:rsidR="00A90ED5" w:rsidRPr="00A90ED5" w:rsidRDefault="00A90ED5" w:rsidP="00A90ED5">
      <w:pPr>
        <w:rPr>
          <w:b/>
          <w:sz w:val="23"/>
          <w:szCs w:val="23"/>
          <w:lang w:val="en-US"/>
        </w:rPr>
      </w:pPr>
      <w:r w:rsidRPr="00A90ED5">
        <w:rPr>
          <w:b/>
          <w:sz w:val="23"/>
          <w:szCs w:val="23"/>
          <w:lang w:val="en-US"/>
        </w:rPr>
        <w:t>Environmental Risk Management</w:t>
      </w:r>
    </w:p>
    <w:p w:rsidR="00A90ED5" w:rsidRPr="00A90ED5" w:rsidRDefault="00A90ED5" w:rsidP="00A90ED5">
      <w:pPr>
        <w:rPr>
          <w:sz w:val="23"/>
          <w:szCs w:val="23"/>
          <w:lang w:val="en-US"/>
        </w:rPr>
      </w:pPr>
      <w:r w:rsidRPr="00A90ED5">
        <w:rPr>
          <w:sz w:val="23"/>
          <w:szCs w:val="23"/>
          <w:lang w:val="en-US"/>
        </w:rPr>
        <w:t>The Bank identifies, assesses, and monitors environ</w:t>
      </w:r>
      <w:r w:rsidRPr="00A90ED5">
        <w:rPr>
          <w:sz w:val="23"/>
          <w:szCs w:val="23"/>
          <w:lang w:val="en-US"/>
        </w:rPr>
        <w:t>mental risks:</w:t>
      </w:r>
    </w:p>
    <w:p w:rsidR="00A90ED5" w:rsidRPr="00A90ED5" w:rsidRDefault="00A90ED5" w:rsidP="00A90ED5">
      <w:pPr>
        <w:pStyle w:val="a3"/>
        <w:numPr>
          <w:ilvl w:val="0"/>
          <w:numId w:val="2"/>
        </w:numPr>
        <w:rPr>
          <w:sz w:val="23"/>
          <w:szCs w:val="23"/>
          <w:lang w:val="en-US"/>
        </w:rPr>
      </w:pPr>
      <w:r w:rsidRPr="00A90ED5">
        <w:rPr>
          <w:sz w:val="23"/>
          <w:szCs w:val="23"/>
          <w:lang w:val="en-US"/>
        </w:rPr>
        <w:t>at the industry level;</w:t>
      </w:r>
    </w:p>
    <w:p w:rsidR="00A90ED5" w:rsidRPr="00A90ED5" w:rsidRDefault="00A90ED5" w:rsidP="00A90ED5">
      <w:pPr>
        <w:pStyle w:val="a3"/>
        <w:numPr>
          <w:ilvl w:val="0"/>
          <w:numId w:val="2"/>
        </w:numPr>
        <w:rPr>
          <w:sz w:val="23"/>
          <w:szCs w:val="23"/>
          <w:lang w:val="en-US"/>
        </w:rPr>
      </w:pPr>
      <w:r w:rsidRPr="00A90ED5">
        <w:rPr>
          <w:sz w:val="23"/>
          <w:szCs w:val="23"/>
          <w:lang w:val="en-US"/>
        </w:rPr>
        <w:t>at the client level;</w:t>
      </w:r>
    </w:p>
    <w:p w:rsidR="00A90ED5" w:rsidRPr="00A90ED5" w:rsidRDefault="00A90ED5" w:rsidP="00A90ED5">
      <w:pPr>
        <w:pStyle w:val="a3"/>
        <w:numPr>
          <w:ilvl w:val="0"/>
          <w:numId w:val="2"/>
        </w:numPr>
        <w:rPr>
          <w:sz w:val="23"/>
          <w:szCs w:val="23"/>
          <w:lang w:val="en-US"/>
        </w:rPr>
      </w:pPr>
      <w:r w:rsidRPr="00A90ED5">
        <w:rPr>
          <w:sz w:val="23"/>
          <w:szCs w:val="23"/>
          <w:lang w:val="en-US"/>
        </w:rPr>
        <w:t>at the collateral level;</w:t>
      </w:r>
    </w:p>
    <w:p w:rsidR="00A90ED5" w:rsidRPr="00A90ED5" w:rsidRDefault="00A90ED5" w:rsidP="00A90ED5">
      <w:pPr>
        <w:pStyle w:val="a3"/>
        <w:numPr>
          <w:ilvl w:val="0"/>
          <w:numId w:val="2"/>
        </w:numPr>
        <w:rPr>
          <w:sz w:val="23"/>
          <w:szCs w:val="23"/>
          <w:lang w:val="en-US"/>
        </w:rPr>
      </w:pPr>
      <w:r w:rsidRPr="00A90ED5">
        <w:rPr>
          <w:sz w:val="23"/>
          <w:szCs w:val="23"/>
          <w:lang w:val="en-US"/>
        </w:rPr>
        <w:t>At</w:t>
      </w:r>
      <w:r w:rsidRPr="00A90ED5">
        <w:rPr>
          <w:sz w:val="23"/>
          <w:szCs w:val="23"/>
          <w:lang w:val="en-US"/>
        </w:rPr>
        <w:t xml:space="preserve"> the portfolio level.</w:t>
      </w:r>
    </w:p>
    <w:p w:rsidR="00A90ED5" w:rsidRPr="00A90ED5" w:rsidRDefault="00A90ED5" w:rsidP="00A90ED5">
      <w:pPr>
        <w:rPr>
          <w:sz w:val="23"/>
          <w:szCs w:val="23"/>
          <w:lang w:val="en-US"/>
        </w:rPr>
      </w:pPr>
      <w:r w:rsidRPr="00A90ED5">
        <w:rPr>
          <w:sz w:val="23"/>
          <w:szCs w:val="23"/>
          <w:lang w:val="en-US"/>
        </w:rPr>
        <w:t>The</w:t>
      </w:r>
      <w:r w:rsidRPr="00A90ED5">
        <w:rPr>
          <w:sz w:val="23"/>
          <w:szCs w:val="23"/>
          <w:lang w:val="en-US"/>
        </w:rPr>
        <w:t xml:space="preserve"> assessment takes into account:</w:t>
      </w:r>
    </w:p>
    <w:p w:rsidR="00A90ED5" w:rsidRPr="00A90ED5" w:rsidRDefault="00A90ED5" w:rsidP="00A90ED5">
      <w:pPr>
        <w:pStyle w:val="a3"/>
        <w:numPr>
          <w:ilvl w:val="0"/>
          <w:numId w:val="3"/>
        </w:numPr>
        <w:rPr>
          <w:sz w:val="23"/>
          <w:szCs w:val="23"/>
          <w:lang w:val="en-US"/>
        </w:rPr>
      </w:pPr>
      <w:r w:rsidRPr="00A90ED5">
        <w:rPr>
          <w:sz w:val="23"/>
          <w:szCs w:val="23"/>
          <w:lang w:val="en-US"/>
        </w:rPr>
        <w:t>exposure to climate and natural risks;</w:t>
      </w:r>
    </w:p>
    <w:p w:rsidR="00A90ED5" w:rsidRPr="00A90ED5" w:rsidRDefault="00A90ED5" w:rsidP="00A90ED5">
      <w:pPr>
        <w:pStyle w:val="a3"/>
        <w:numPr>
          <w:ilvl w:val="0"/>
          <w:numId w:val="3"/>
        </w:numPr>
        <w:rPr>
          <w:sz w:val="23"/>
          <w:szCs w:val="23"/>
          <w:lang w:val="en-US"/>
        </w:rPr>
      </w:pPr>
      <w:r w:rsidRPr="00A90ED5">
        <w:rPr>
          <w:sz w:val="23"/>
          <w:szCs w:val="23"/>
          <w:lang w:val="en-US"/>
        </w:rPr>
        <w:t>the impact of environmental factors on clients’ financial position;</w:t>
      </w:r>
    </w:p>
    <w:p w:rsidR="00A90ED5" w:rsidRPr="00A90ED5" w:rsidRDefault="00A90ED5" w:rsidP="00A90ED5">
      <w:pPr>
        <w:pStyle w:val="a3"/>
        <w:numPr>
          <w:ilvl w:val="0"/>
          <w:numId w:val="3"/>
        </w:numPr>
        <w:rPr>
          <w:sz w:val="23"/>
          <w:szCs w:val="23"/>
          <w:lang w:val="en-US"/>
        </w:rPr>
      </w:pPr>
      <w:r w:rsidRPr="00A90ED5">
        <w:rPr>
          <w:sz w:val="23"/>
          <w:szCs w:val="23"/>
          <w:lang w:val="en-US"/>
        </w:rPr>
        <w:t>greenhouse gas emission levels;</w:t>
      </w:r>
    </w:p>
    <w:p w:rsidR="00A90ED5" w:rsidRPr="00A90ED5" w:rsidRDefault="00A90ED5" w:rsidP="00A90ED5">
      <w:pPr>
        <w:pStyle w:val="a3"/>
        <w:numPr>
          <w:ilvl w:val="0"/>
          <w:numId w:val="3"/>
        </w:numPr>
        <w:rPr>
          <w:sz w:val="23"/>
          <w:szCs w:val="23"/>
          <w:lang w:val="en-US"/>
        </w:rPr>
      </w:pPr>
      <w:r w:rsidRPr="00A90ED5">
        <w:rPr>
          <w:sz w:val="23"/>
          <w:szCs w:val="23"/>
          <w:lang w:val="en-US"/>
        </w:rPr>
        <w:t>The</w:t>
      </w:r>
      <w:r w:rsidRPr="00A90ED5">
        <w:rPr>
          <w:sz w:val="23"/>
          <w:szCs w:val="23"/>
          <w:lang w:val="en-US"/>
        </w:rPr>
        <w:t xml:space="preserve"> impact of environmental fact</w:t>
      </w:r>
      <w:r w:rsidRPr="00A90ED5">
        <w:rPr>
          <w:sz w:val="23"/>
          <w:szCs w:val="23"/>
          <w:lang w:val="en-US"/>
        </w:rPr>
        <w:t>ors on the value of collateral.</w:t>
      </w:r>
    </w:p>
    <w:p w:rsidR="00A90ED5" w:rsidRPr="00A90ED5" w:rsidRDefault="00A90ED5" w:rsidP="00A90ED5">
      <w:pPr>
        <w:rPr>
          <w:b/>
          <w:sz w:val="23"/>
          <w:szCs w:val="23"/>
          <w:lang w:val="en-US"/>
        </w:rPr>
      </w:pPr>
      <w:r w:rsidRPr="00A90ED5">
        <w:rPr>
          <w:b/>
          <w:sz w:val="23"/>
          <w:szCs w:val="23"/>
          <w:lang w:val="en-US"/>
        </w:rPr>
        <w:t>Greenhouse Gas Emissions</w:t>
      </w:r>
    </w:p>
    <w:p w:rsidR="00A90ED5" w:rsidRPr="00A90ED5" w:rsidRDefault="00A90ED5" w:rsidP="00A90ED5">
      <w:pPr>
        <w:rPr>
          <w:sz w:val="23"/>
          <w:szCs w:val="23"/>
          <w:lang w:val="en-US"/>
        </w:rPr>
      </w:pPr>
      <w:r w:rsidRPr="00A90ED5">
        <w:rPr>
          <w:sz w:val="23"/>
          <w:szCs w:val="23"/>
          <w:lang w:val="en-US"/>
        </w:rPr>
        <w:t>The Bank monitors:</w:t>
      </w:r>
    </w:p>
    <w:p w:rsidR="00A90ED5" w:rsidRPr="00A90ED5" w:rsidRDefault="00A90ED5" w:rsidP="00A90ED5">
      <w:pPr>
        <w:pStyle w:val="a3"/>
        <w:numPr>
          <w:ilvl w:val="0"/>
          <w:numId w:val="1"/>
        </w:numPr>
        <w:rPr>
          <w:sz w:val="23"/>
          <w:szCs w:val="23"/>
          <w:lang w:val="en-US"/>
        </w:rPr>
      </w:pPr>
      <w:r w:rsidRPr="00A90ED5">
        <w:rPr>
          <w:sz w:val="23"/>
          <w:szCs w:val="23"/>
          <w:lang w:val="en-US"/>
        </w:rPr>
        <w:t>direct emissions (Scope 1);</w:t>
      </w:r>
    </w:p>
    <w:p w:rsidR="00A90ED5" w:rsidRPr="00A90ED5" w:rsidRDefault="00A90ED5" w:rsidP="00A90ED5">
      <w:pPr>
        <w:pStyle w:val="a3"/>
        <w:numPr>
          <w:ilvl w:val="0"/>
          <w:numId w:val="1"/>
        </w:numPr>
        <w:rPr>
          <w:sz w:val="23"/>
          <w:szCs w:val="23"/>
          <w:lang w:val="en-US"/>
        </w:rPr>
      </w:pPr>
      <w:r w:rsidRPr="00A90ED5">
        <w:rPr>
          <w:sz w:val="23"/>
          <w:szCs w:val="23"/>
          <w:lang w:val="en-US"/>
        </w:rPr>
        <w:t>emissions related to electricity consumption (Scope 2);</w:t>
      </w:r>
    </w:p>
    <w:p w:rsidR="00A90ED5" w:rsidRPr="00A90ED5" w:rsidRDefault="00A90ED5" w:rsidP="00A90ED5">
      <w:pPr>
        <w:pStyle w:val="a3"/>
        <w:numPr>
          <w:ilvl w:val="0"/>
          <w:numId w:val="1"/>
        </w:numPr>
        <w:rPr>
          <w:sz w:val="23"/>
          <w:szCs w:val="23"/>
          <w:lang w:val="en-US"/>
        </w:rPr>
      </w:pPr>
      <w:r w:rsidRPr="00A90ED5">
        <w:rPr>
          <w:sz w:val="23"/>
          <w:szCs w:val="23"/>
          <w:lang w:val="en-US"/>
        </w:rPr>
        <w:t>Emissions</w:t>
      </w:r>
      <w:r w:rsidRPr="00A90ED5">
        <w:rPr>
          <w:sz w:val="23"/>
          <w:szCs w:val="23"/>
          <w:lang w:val="en-US"/>
        </w:rPr>
        <w:t xml:space="preserve"> associated with clients’ financed activities (Scope 3).</w:t>
      </w:r>
    </w:p>
    <w:p w:rsidR="00A90ED5" w:rsidRPr="00A90ED5" w:rsidRDefault="00A90ED5" w:rsidP="00A90ED5">
      <w:pPr>
        <w:rPr>
          <w:b/>
          <w:sz w:val="23"/>
          <w:szCs w:val="23"/>
          <w:lang w:val="en-US"/>
        </w:rPr>
      </w:pPr>
      <w:r w:rsidRPr="00A90ED5">
        <w:rPr>
          <w:b/>
          <w:sz w:val="23"/>
          <w:szCs w:val="23"/>
          <w:lang w:val="en-US"/>
        </w:rPr>
        <w:t>Social and Environmental Activities</w:t>
      </w:r>
    </w:p>
    <w:p w:rsidR="00A90ED5" w:rsidRPr="00A90ED5" w:rsidRDefault="00A90ED5" w:rsidP="00A90ED5">
      <w:pPr>
        <w:rPr>
          <w:sz w:val="23"/>
          <w:szCs w:val="23"/>
          <w:lang w:val="en-US"/>
        </w:rPr>
      </w:pPr>
      <w:r w:rsidRPr="00A90ED5">
        <w:rPr>
          <w:sz w:val="23"/>
          <w:szCs w:val="23"/>
          <w:lang w:val="en-US"/>
        </w:rPr>
        <w:t>The Bank supports the principles of sustainable development, enhancement of environmental responsibility, and transparency in</w:t>
      </w:r>
      <w:r w:rsidRPr="00A90ED5">
        <w:rPr>
          <w:sz w:val="23"/>
          <w:szCs w:val="23"/>
          <w:lang w:val="en-US"/>
        </w:rPr>
        <w:t xml:space="preserve"> environmental risk disclosure.</w:t>
      </w:r>
    </w:p>
    <w:p w:rsidR="00A90ED5" w:rsidRPr="00A90ED5" w:rsidRDefault="00A90ED5" w:rsidP="00A90ED5">
      <w:pPr>
        <w:rPr>
          <w:b/>
          <w:sz w:val="23"/>
          <w:szCs w:val="23"/>
          <w:lang w:val="en-US"/>
        </w:rPr>
      </w:pPr>
      <w:r w:rsidRPr="00A90ED5">
        <w:rPr>
          <w:b/>
          <w:sz w:val="23"/>
          <w:szCs w:val="23"/>
          <w:lang w:val="en-US"/>
        </w:rPr>
        <w:t>Governance Model</w:t>
      </w:r>
    </w:p>
    <w:p w:rsidR="00A90ED5" w:rsidRPr="00A90ED5" w:rsidRDefault="00A90ED5" w:rsidP="00A90ED5">
      <w:pPr>
        <w:rPr>
          <w:sz w:val="23"/>
          <w:szCs w:val="23"/>
          <w:lang w:val="en-US"/>
        </w:rPr>
      </w:pPr>
      <w:r w:rsidRPr="00A90ED5">
        <w:rPr>
          <w:sz w:val="23"/>
          <w:szCs w:val="23"/>
          <w:lang w:val="en-US"/>
        </w:rPr>
        <w:t xml:space="preserve">The Bank applies the “three lines of defense” model, which </w:t>
      </w:r>
      <w:r w:rsidRPr="00A90ED5">
        <w:rPr>
          <w:sz w:val="23"/>
          <w:szCs w:val="23"/>
        </w:rPr>
        <w:t>предусматривает</w:t>
      </w:r>
      <w:r w:rsidRPr="00A90ED5">
        <w:rPr>
          <w:sz w:val="23"/>
          <w:szCs w:val="23"/>
          <w:lang w:val="en-US"/>
        </w:rPr>
        <w:t xml:space="preserve"> participation of business units, control functions, and internal audit in the environmental risk management process.</w:t>
      </w:r>
    </w:p>
    <w:p w:rsidR="00A90ED5" w:rsidRPr="00A90ED5" w:rsidRDefault="00A90ED5" w:rsidP="00A90ED5">
      <w:pPr>
        <w:rPr>
          <w:b/>
          <w:sz w:val="23"/>
          <w:szCs w:val="23"/>
          <w:lang w:val="en-US"/>
        </w:rPr>
      </w:pPr>
      <w:r w:rsidRPr="00A90ED5">
        <w:rPr>
          <w:b/>
          <w:sz w:val="23"/>
          <w:szCs w:val="23"/>
          <w:lang w:val="en-US"/>
        </w:rPr>
        <w:lastRenderedPageBreak/>
        <w:t>In 2025</w:t>
      </w:r>
    </w:p>
    <w:p w:rsidR="00A90ED5" w:rsidRPr="00A90ED5" w:rsidRDefault="00A90ED5" w:rsidP="00A90ED5">
      <w:pPr>
        <w:rPr>
          <w:sz w:val="23"/>
          <w:szCs w:val="23"/>
          <w:lang w:val="en-US"/>
        </w:rPr>
      </w:pPr>
      <w:r w:rsidRPr="00A90ED5">
        <w:rPr>
          <w:sz w:val="23"/>
          <w:szCs w:val="23"/>
          <w:lang w:val="en-US"/>
        </w:rPr>
        <w:t>Fuel consumption = 62.0 thousand liters</w:t>
      </w:r>
    </w:p>
    <w:p w:rsidR="007862B1" w:rsidRPr="00A90ED5" w:rsidRDefault="00A90ED5" w:rsidP="00A90ED5">
      <w:pPr>
        <w:rPr>
          <w:sz w:val="23"/>
          <w:szCs w:val="23"/>
          <w:lang w:val="en-US"/>
        </w:rPr>
      </w:pPr>
      <w:r w:rsidRPr="00A90ED5">
        <w:rPr>
          <w:sz w:val="23"/>
          <w:szCs w:val="23"/>
          <w:lang w:val="en-US"/>
        </w:rPr>
        <w:t>Electricity consumption = 1,064.34 MWh</w:t>
      </w:r>
    </w:p>
    <w:sectPr w:rsidR="007862B1" w:rsidRPr="00A90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26D" w:rsidRDefault="005F126D" w:rsidP="00A90ED5">
      <w:pPr>
        <w:spacing w:after="0" w:line="240" w:lineRule="auto"/>
      </w:pPr>
      <w:r>
        <w:separator/>
      </w:r>
    </w:p>
  </w:endnote>
  <w:endnote w:type="continuationSeparator" w:id="0">
    <w:p w:rsidR="005F126D" w:rsidRDefault="005F126D" w:rsidP="00A9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26D" w:rsidRDefault="005F126D" w:rsidP="00A90ED5">
      <w:pPr>
        <w:spacing w:after="0" w:line="240" w:lineRule="auto"/>
      </w:pPr>
      <w:r>
        <w:separator/>
      </w:r>
    </w:p>
  </w:footnote>
  <w:footnote w:type="continuationSeparator" w:id="0">
    <w:p w:rsidR="005F126D" w:rsidRDefault="005F126D" w:rsidP="00A90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6780"/>
    <w:multiLevelType w:val="hybridMultilevel"/>
    <w:tmpl w:val="D578E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531990"/>
    <w:multiLevelType w:val="hybridMultilevel"/>
    <w:tmpl w:val="A30A5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7F57B37"/>
    <w:multiLevelType w:val="hybridMultilevel"/>
    <w:tmpl w:val="813AE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D5"/>
    <w:rsid w:val="005F126D"/>
    <w:rsid w:val="007862B1"/>
    <w:rsid w:val="00A90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D34B"/>
  <w15:chartTrackingRefBased/>
  <w15:docId w15:val="{B34CBD45-E6FA-475B-99D4-377AF0F3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Sadraddin Aghjayev</dc:creator>
  <cp:keywords/>
  <dc:description/>
  <cp:lastModifiedBy>Sadraddin Aghjayev</cp:lastModifiedBy>
  <cp:revision>1</cp:revision>
  <dcterms:created xsi:type="dcterms:W3CDTF">2026-05-13T11:18:00Z</dcterms:created>
  <dcterms:modified xsi:type="dcterms:W3CDTF">2026-05-13T11:21:00Z</dcterms:modified>
</cp:coreProperties>
</file>